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CB7" w:rsidRPr="00C0013B" w:rsidRDefault="00F10CB7" w:rsidP="00F10CB7">
      <w:pPr>
        <w:spacing w:before="100" w:beforeAutospacing="1" w:after="100" w:afterAutospacing="1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0013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Wykaz nieruchomości stanowiących własność Skarbu Państwa, przeznaczonych do zbycia na rzecz użytkownika wieczystego na podstawie art. 198g ustawy z dnia 21 sierpnia 1997 r. o gospodarce nieruchomościami (Dz. U. z 2024 r. poz. 1145, 1222, 1717, 1881, z 2025 r. poz. 1077, 1080)</w:t>
      </w:r>
      <w:bookmarkStart w:id="0" w:name="_GoBack"/>
      <w:bookmarkEnd w:id="0"/>
    </w:p>
    <w:p w:rsidR="00F10CB7" w:rsidRPr="00C0013B" w:rsidRDefault="00F10CB7" w:rsidP="00F10CB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Położenie nieruchomości: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obrębie Waplewo, gmina Stary Targ.</w:t>
      </w:r>
    </w:p>
    <w:p w:rsidR="00F10CB7" w:rsidRPr="00C0013B" w:rsidRDefault="00F10CB7" w:rsidP="00F10CB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Oznaczenie nieruchomości według ewidencji gruntów i księgi wieczystej: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działki nr 138/3 i 138/7 o łącznej pow. 1,6172 ha, obręb Waplewo, gmina Stary Targ, zabudowane budynkiem stanowiącym odrębną własność Nabywcy; grunt sklasyfikowany użytkiem: Bi – inne tereny zabudowane, B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noBreakHyphen/>
      </w:r>
      <w:proofErr w:type="spellStart"/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Ps</w:t>
      </w:r>
      <w:proofErr w:type="spellEnd"/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VI – grunty rolne zabudowane, </w:t>
      </w:r>
      <w:proofErr w:type="spellStart"/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Ps</w:t>
      </w:r>
      <w:proofErr w:type="spellEnd"/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VI – pastwiska trwałe, N – nieużytki; dla nieruchomości Sąd Rejonowy w Kwidzynie, Zamiejscowy VIII Wydział Ksiąg Wieczystych w Sztumie prowadzi księgę wieczystą nr GD2I/00001102/4.</w:t>
      </w:r>
    </w:p>
    <w:p w:rsidR="00F10CB7" w:rsidRPr="00C0013B" w:rsidRDefault="00F10CB7" w:rsidP="00F10CB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Opis nieruchomości, jej przeznaczenie i sposób zagospodarowania: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a) Działki nr 138/3 i 138/7 o łącznej pow. 1,6172 ha, zabudowane budynkiem stanowiącym odrębną własność Nabywcy; grunt sklasyfikowany użytkiem: Bi, B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noBreakHyphen/>
      </w:r>
      <w:proofErr w:type="spellStart"/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Ps</w:t>
      </w:r>
      <w:proofErr w:type="spellEnd"/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VI, </w:t>
      </w:r>
      <w:proofErr w:type="spellStart"/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PsVI,N</w:t>
      </w:r>
      <w:proofErr w:type="spellEnd"/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b) Dla przedmiotowego terenu obowiązuje miejscowy plan zagospodarowania przestrzennego: Uchwała Rady Gminy Stary Targ nr XXX/278/2006 z dnia 26 stycznia 2006 r. oraz zmiana – Uchwała nr XLVI/365/2023 z dnia 29 września 2023 r.; przedmiotowe działki położone są na terenie oznaczonym symbolem 58.UP – teren zabudowy usługowej i obiektów produkcyjnych, składów i magazynów.</w:t>
      </w:r>
    </w:p>
    <w:p w:rsidR="00F10CB7" w:rsidRPr="00C0013B" w:rsidRDefault="00F10CB7" w:rsidP="00F10CB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Obciążenia nieruchomości: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nieruchomość nie jest obciążona długami, ograniczeniami, prawami rzeczowymi oraz roszczeniami na rzecz osób trzecich.</w:t>
      </w:r>
    </w:p>
    <w:p w:rsidR="00F10CB7" w:rsidRPr="00C0013B" w:rsidRDefault="00F10CB7" w:rsidP="00F10CB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Termin zagospodarowania nieruchomości: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nie dotyczy.</w:t>
      </w:r>
    </w:p>
    <w:p w:rsidR="00F10CB7" w:rsidRPr="00C0013B" w:rsidRDefault="00F10CB7" w:rsidP="00F10CB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Wartość nieruchomości i cena sprzedaży: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a) Wartość nieruchomości gruntowej (ustalona na potrzeby sprzedaży): 454 110,00 zł.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b) Dotychczasowa stawka procentowa opłaty rocznej z tytułu użytkowania wieczystego: 3%, co odpowiada opłacie rocznej 13 623,30 zł.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c) Cena sprzedaży nieruchomości gruntowej zostaje ustalona zgodnie z art. 198h ustawy o gospodarce nieruchomościami, tj. stanowi dwudziestokrotność kwoty 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stanowiącej iloczyn dotychczasowej stawki procentowej opłaty rocznej i wartości nieruchomości gruntowej ustalonej na dzień zawarcia umowy sprzedaży.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d) Wyliczona cena sprzedaży: 272 466,00 zł (słownie: dwieście siedemdziesiąt dwa tysiące czterysta sześćdziesiąt sześć złotych).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e) W zakresie opodatkowania transakcji stosuje się przepisy ustawy z dnia 11 marca 2004 r. o podatku od towarów i usług; w przypadku gdy prawo użytkowania wieczystego ustanowiono przed 1 maja 2004 r., sprzedaż prawa własności gruntu na rzecz użytkownika wieczystego co do zasady nie podlega opodatkowaniu podatkiem VAT. Ostateczne rozstrzygnięcie następuje z uwzględnieniem przepisów ustawy o VAT i okoliczności konkretnej sprawy.</w:t>
      </w:r>
    </w:p>
    <w:p w:rsidR="00F10CB7" w:rsidRPr="00C0013B" w:rsidRDefault="00F10CB7" w:rsidP="00F10CB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Wysokość stawek procentowych opłat z tytułu użytkowania wieczystego: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nie dotyczy.</w:t>
      </w:r>
    </w:p>
    <w:p w:rsidR="00F10CB7" w:rsidRPr="00C0013B" w:rsidRDefault="00F10CB7" w:rsidP="00F10CB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Wysokość opłat z tytułu dzierżawy: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nie dotyczy.</w:t>
      </w:r>
    </w:p>
    <w:p w:rsidR="00F10CB7" w:rsidRPr="00C0013B" w:rsidRDefault="00F10CB7" w:rsidP="00F10CB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Forma zbycia nieruchomości: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sprzedaż prawa własności nieruchomości gruntowej na rzecz użytkownika wieczystego stosownie do art. 198g ustawy o gospodarce nieruchomościami. Przeniesienie nastąpi w formie aktu notarialnego. Koszty sporządzenia aktu notarialnego i wpisów do ksiąg wieczystych ponosi Nabywca.</w:t>
      </w:r>
    </w:p>
    <w:p w:rsidR="00F10CB7" w:rsidRPr="00C0013B" w:rsidRDefault="00F10CB7" w:rsidP="00F10CB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Cel i termin zagospodarowania:</w:t>
      </w: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nie dotyczy.</w:t>
      </w:r>
    </w:p>
    <w:p w:rsidR="00F10CB7" w:rsidRPr="00C0013B" w:rsidRDefault="00F10CB7" w:rsidP="00F10CB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0013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Termin do złożenia wniosku przez osoby, którym przysługuje pierwszeństwo w nabyciu nieruchomości na podstawie art. 34 ust. 1 pkt 1 i 2 ustawy o gospodarce nieruchomościami: 6 tygodni, licząc od dnia ukazania się wykazu.</w:t>
      </w:r>
    </w:p>
    <w:p w:rsidR="00F10CB7" w:rsidRPr="00C0013B" w:rsidRDefault="00F10CB7" w:rsidP="00F10CB7">
      <w:pPr>
        <w:spacing w:line="360" w:lineRule="auto"/>
      </w:pPr>
    </w:p>
    <w:p w:rsidR="007B001B" w:rsidRDefault="007B001B"/>
    <w:sectPr w:rsidR="007B00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60312"/>
    <w:multiLevelType w:val="multilevel"/>
    <w:tmpl w:val="DC66C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CB7"/>
    <w:rsid w:val="007B001B"/>
    <w:rsid w:val="00F1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ECD85-87E1-4580-B31A-2925A8BD0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10CB7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Danuta</cp:lastModifiedBy>
  <cp:revision>1</cp:revision>
  <cp:lastPrinted>2026-04-07T09:39:00Z</cp:lastPrinted>
  <dcterms:created xsi:type="dcterms:W3CDTF">2026-04-07T09:38:00Z</dcterms:created>
  <dcterms:modified xsi:type="dcterms:W3CDTF">2026-04-07T09:43:00Z</dcterms:modified>
</cp:coreProperties>
</file>